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6C96A" w14:textId="77777777" w:rsidR="004F302F" w:rsidRDefault="004F302F" w:rsidP="004F302F">
      <w:pPr>
        <w:spacing w:before="100" w:beforeAutospacing="1" w:after="100" w:afterAutospacing="1" w:line="240" w:lineRule="auto"/>
        <w:outlineLvl w:val="2"/>
        <w:rPr>
          <w:rFonts w:ascii="athitibold" w:eastAsia="Times New Roman" w:hAnsi="athitibold" w:cs="Times New Roman"/>
          <w:b/>
          <w:bCs/>
          <w:color w:val="484643"/>
          <w:kern w:val="0"/>
          <w:sz w:val="38"/>
          <w:szCs w:val="38"/>
          <w:lang w:eastAsia="fr-FR"/>
          <w14:ligatures w14:val="none"/>
        </w:rPr>
      </w:pPr>
    </w:p>
    <w:p w14:paraId="01AEFE6E" w14:textId="4C6B71F0" w:rsidR="004F302F" w:rsidRDefault="006F069B" w:rsidP="004F302F">
      <w:pPr>
        <w:spacing w:before="100" w:beforeAutospacing="1" w:after="100" w:afterAutospacing="1" w:line="240" w:lineRule="auto"/>
        <w:outlineLvl w:val="2"/>
        <w:rPr>
          <w:rFonts w:ascii="athitibold" w:eastAsia="Times New Roman" w:hAnsi="athitibold" w:cs="Times New Roman"/>
          <w:b/>
          <w:bCs/>
          <w:color w:val="484643"/>
          <w:kern w:val="0"/>
          <w:sz w:val="38"/>
          <w:szCs w:val="38"/>
          <w:lang w:eastAsia="fr-FR"/>
          <w14:ligatures w14:val="none"/>
        </w:rPr>
      </w:pPr>
      <w:r>
        <w:rPr>
          <w:rFonts w:ascii="athitibold" w:eastAsia="Times New Roman" w:hAnsi="athitibold" w:cs="Times New Roman"/>
          <w:b/>
          <w:bCs/>
          <w:noProof/>
          <w:color w:val="484643"/>
          <w:kern w:val="0"/>
          <w:sz w:val="38"/>
          <w:szCs w:val="38"/>
          <w:lang w:eastAsia="fr-FR"/>
          <w14:ligatures w14:val="none"/>
        </w:rPr>
        <w:drawing>
          <wp:anchor distT="0" distB="0" distL="114300" distR="114300" simplePos="0" relativeHeight="251658240" behindDoc="0" locked="0" layoutInCell="1" allowOverlap="1" wp14:anchorId="2A6BE094" wp14:editId="50FEE897">
            <wp:simplePos x="0" y="0"/>
            <wp:positionH relativeFrom="margin">
              <wp:align>center</wp:align>
            </wp:positionH>
            <wp:positionV relativeFrom="paragraph">
              <wp:posOffset>170064</wp:posOffset>
            </wp:positionV>
            <wp:extent cx="1771650" cy="1181100"/>
            <wp:effectExtent l="0" t="0" r="0" b="0"/>
            <wp:wrapNone/>
            <wp:docPr id="9625043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pic:spPr>
                </pic:pic>
              </a:graphicData>
            </a:graphic>
          </wp:anchor>
        </w:drawing>
      </w:r>
    </w:p>
    <w:p w14:paraId="5E9F4C0B" w14:textId="08C36E4F" w:rsidR="004F302F" w:rsidRDefault="004F302F" w:rsidP="004F302F">
      <w:pPr>
        <w:spacing w:before="100" w:beforeAutospacing="1" w:after="100" w:afterAutospacing="1" w:line="240" w:lineRule="auto"/>
        <w:outlineLvl w:val="2"/>
        <w:rPr>
          <w:rFonts w:ascii="athitibold" w:eastAsia="Times New Roman" w:hAnsi="athitibold" w:cs="Times New Roman"/>
          <w:b/>
          <w:bCs/>
          <w:color w:val="484643"/>
          <w:kern w:val="0"/>
          <w:sz w:val="38"/>
          <w:szCs w:val="38"/>
          <w:lang w:eastAsia="fr-FR"/>
          <w14:ligatures w14:val="none"/>
        </w:rPr>
      </w:pPr>
    </w:p>
    <w:p w14:paraId="329EB9B7" w14:textId="04F8ED2A" w:rsidR="004F302F" w:rsidRDefault="004F302F" w:rsidP="004F302F">
      <w:pPr>
        <w:spacing w:before="100" w:beforeAutospacing="1" w:after="100" w:afterAutospacing="1" w:line="240" w:lineRule="auto"/>
        <w:outlineLvl w:val="2"/>
        <w:rPr>
          <w:rFonts w:ascii="athitibold" w:eastAsia="Times New Roman" w:hAnsi="athitibold" w:cs="Times New Roman"/>
          <w:b/>
          <w:bCs/>
          <w:color w:val="484643"/>
          <w:kern w:val="0"/>
          <w:sz w:val="38"/>
          <w:szCs w:val="38"/>
          <w:lang w:eastAsia="fr-FR"/>
          <w14:ligatures w14:val="none"/>
        </w:rPr>
      </w:pPr>
    </w:p>
    <w:p w14:paraId="62CADF64" w14:textId="20352A26" w:rsidR="004F302F" w:rsidRPr="004F302F" w:rsidRDefault="004F302F" w:rsidP="004F302F">
      <w:pPr>
        <w:spacing w:before="100" w:beforeAutospacing="1" w:after="100" w:afterAutospacing="1" w:line="240" w:lineRule="auto"/>
        <w:outlineLvl w:val="2"/>
        <w:rPr>
          <w:rFonts w:ascii="athitibold" w:eastAsia="Times New Roman" w:hAnsi="athitibold" w:cs="Times New Roman"/>
          <w:color w:val="484643"/>
          <w:kern w:val="0"/>
          <w:sz w:val="38"/>
          <w:szCs w:val="38"/>
          <w:lang w:eastAsia="fr-FR"/>
          <w14:ligatures w14:val="none"/>
        </w:rPr>
      </w:pPr>
      <w:r w:rsidRPr="004F302F">
        <w:rPr>
          <w:rFonts w:ascii="athitibold" w:eastAsia="Times New Roman" w:hAnsi="athitibold" w:cs="Times New Roman"/>
          <w:b/>
          <w:bCs/>
          <w:color w:val="484643"/>
          <w:kern w:val="0"/>
          <w:sz w:val="38"/>
          <w:szCs w:val="38"/>
          <w:lang w:eastAsia="fr-FR"/>
          <w14:ligatures w14:val="none"/>
        </w:rPr>
        <w:t>Le Château « Les Lauriers », son histoire</w:t>
      </w:r>
    </w:p>
    <w:p w14:paraId="1BE8F69E" w14:textId="77777777" w:rsidR="004F302F" w:rsidRPr="004F302F" w:rsidRDefault="004F302F" w:rsidP="004F302F">
      <w:pPr>
        <w:spacing w:before="100" w:beforeAutospacing="1" w:after="100" w:afterAutospacing="1" w:line="240" w:lineRule="auto"/>
        <w:rPr>
          <w:rFonts w:ascii="athitiregular" w:eastAsia="Times New Roman" w:hAnsi="athitiregular" w:cs="Times New Roman"/>
          <w:color w:val="484643"/>
          <w:kern w:val="0"/>
          <w:sz w:val="27"/>
          <w:szCs w:val="27"/>
          <w:lang w:eastAsia="fr-FR"/>
          <w14:ligatures w14:val="none"/>
        </w:rPr>
      </w:pPr>
      <w:r w:rsidRPr="004F302F">
        <w:rPr>
          <w:rFonts w:ascii="athitiregular" w:eastAsia="Times New Roman" w:hAnsi="athitiregular" w:cs="Times New Roman"/>
          <w:color w:val="484643"/>
          <w:kern w:val="0"/>
          <w:sz w:val="27"/>
          <w:szCs w:val="27"/>
          <w:lang w:eastAsia="fr-FR"/>
          <w14:ligatures w14:val="none"/>
        </w:rPr>
        <w:t xml:space="preserve">Situé à Lormont au nord de Bordeaux, ce château a été construit en 1860 pour Moïse Henri GRADIS (1826-1905), historien, juge au Tribunal de commerce et président du consistoire israélite de Bordeaux. Agrémenté d’un parc dessiné par le paysagiste bordelais Louis Bernard FISHER, il jouissait d’une magnifique vue sur la Garonne. La famille </w:t>
      </w:r>
      <w:proofErr w:type="spellStart"/>
      <w:r w:rsidRPr="004F302F">
        <w:rPr>
          <w:rFonts w:ascii="athitiregular" w:eastAsia="Times New Roman" w:hAnsi="athitiregular" w:cs="Times New Roman"/>
          <w:color w:val="484643"/>
          <w:kern w:val="0"/>
          <w:sz w:val="27"/>
          <w:szCs w:val="27"/>
          <w:lang w:eastAsia="fr-FR"/>
          <w14:ligatures w14:val="none"/>
        </w:rPr>
        <w:t>Gradis</w:t>
      </w:r>
      <w:proofErr w:type="spellEnd"/>
      <w:r w:rsidRPr="004F302F">
        <w:rPr>
          <w:rFonts w:ascii="athitiregular" w:eastAsia="Times New Roman" w:hAnsi="athitiregular" w:cs="Times New Roman"/>
          <w:color w:val="484643"/>
          <w:kern w:val="0"/>
          <w:sz w:val="27"/>
          <w:szCs w:val="27"/>
          <w:lang w:eastAsia="fr-FR"/>
          <w14:ligatures w14:val="none"/>
        </w:rPr>
        <w:t xml:space="preserve"> vit dans le château de 1860 à 1943, date à laquelle l’héritier, Gaston </w:t>
      </w:r>
      <w:proofErr w:type="spellStart"/>
      <w:r w:rsidRPr="004F302F">
        <w:rPr>
          <w:rFonts w:ascii="athitiregular" w:eastAsia="Times New Roman" w:hAnsi="athitiregular" w:cs="Times New Roman"/>
          <w:color w:val="484643"/>
          <w:kern w:val="0"/>
          <w:sz w:val="27"/>
          <w:szCs w:val="27"/>
          <w:lang w:eastAsia="fr-FR"/>
          <w14:ligatures w14:val="none"/>
        </w:rPr>
        <w:t>Gradis</w:t>
      </w:r>
      <w:proofErr w:type="spellEnd"/>
      <w:r w:rsidRPr="004F302F">
        <w:rPr>
          <w:rFonts w:ascii="athitiregular" w:eastAsia="Times New Roman" w:hAnsi="athitiregular" w:cs="Times New Roman"/>
          <w:color w:val="484643"/>
          <w:kern w:val="0"/>
          <w:sz w:val="27"/>
          <w:szCs w:val="27"/>
          <w:lang w:eastAsia="fr-FR"/>
          <w14:ligatures w14:val="none"/>
        </w:rPr>
        <w:t xml:space="preserve"> est obligé de quitter la France, tout en restant propriétaire du domaine Les Lauriers.</w:t>
      </w:r>
    </w:p>
    <w:p w14:paraId="5349C578" w14:textId="77777777" w:rsidR="004F302F" w:rsidRPr="004F302F" w:rsidRDefault="004F302F" w:rsidP="004F302F">
      <w:pPr>
        <w:spacing w:before="100" w:beforeAutospacing="1" w:after="100" w:afterAutospacing="1" w:line="240" w:lineRule="auto"/>
        <w:rPr>
          <w:rFonts w:ascii="athitiregular" w:eastAsia="Times New Roman" w:hAnsi="athitiregular" w:cs="Times New Roman"/>
          <w:color w:val="484643"/>
          <w:kern w:val="0"/>
          <w:sz w:val="27"/>
          <w:szCs w:val="27"/>
          <w:lang w:eastAsia="fr-FR"/>
          <w14:ligatures w14:val="none"/>
        </w:rPr>
      </w:pPr>
      <w:r w:rsidRPr="004F302F">
        <w:rPr>
          <w:rFonts w:ascii="athitiregular" w:eastAsia="Times New Roman" w:hAnsi="athitiregular" w:cs="Times New Roman"/>
          <w:color w:val="484643"/>
          <w:kern w:val="0"/>
          <w:sz w:val="27"/>
          <w:szCs w:val="27"/>
          <w:lang w:eastAsia="fr-FR"/>
          <w14:ligatures w14:val="none"/>
        </w:rPr>
        <w:t>La Caisse primaire centrale de la Sécurité sociale s’en porte acquéreur en 1948 pour y installer, dès 1951, une maison de repos et de convalescence pour femmes. Le château apparaît très vite inadapté à la dispense des soins. Un nouveau bâtiment est construit sur le même domaine et mis en service en 1978.</w:t>
      </w:r>
    </w:p>
    <w:p w14:paraId="50295DAA" w14:textId="77777777" w:rsidR="004F302F" w:rsidRDefault="004F302F" w:rsidP="004F302F">
      <w:pPr>
        <w:spacing w:before="100" w:beforeAutospacing="1" w:after="100" w:afterAutospacing="1" w:line="240" w:lineRule="auto"/>
        <w:rPr>
          <w:rFonts w:ascii="athitiregular" w:eastAsia="Times New Roman" w:hAnsi="athitiregular" w:cs="Times New Roman"/>
          <w:color w:val="484643"/>
          <w:kern w:val="0"/>
          <w:sz w:val="27"/>
          <w:szCs w:val="27"/>
          <w:lang w:eastAsia="fr-FR"/>
          <w14:ligatures w14:val="none"/>
        </w:rPr>
      </w:pPr>
      <w:hyperlink r:id="rId5" w:tgtFrame="_blank" w:history="1">
        <w:r w:rsidRPr="004F302F">
          <w:rPr>
            <w:rFonts w:ascii="athitimedium" w:eastAsia="Times New Roman" w:hAnsi="athitimedium" w:cs="Times New Roman"/>
            <w:color w:val="2D6DA6"/>
            <w:kern w:val="0"/>
            <w:sz w:val="27"/>
            <w:szCs w:val="27"/>
            <w:u w:val="single"/>
            <w:shd w:val="clear" w:color="auto" w:fill="FFC332"/>
            <w:lang w:eastAsia="fr-FR"/>
            <w14:ligatures w14:val="none"/>
          </w:rPr>
          <w:t xml:space="preserve">Découvrir le </w:t>
        </w:r>
        <w:r w:rsidRPr="004F302F">
          <w:rPr>
            <w:rFonts w:ascii="athitimedium" w:eastAsia="Times New Roman" w:hAnsi="athitimedium" w:cs="Times New Roman"/>
            <w:color w:val="2D6DA6"/>
            <w:kern w:val="0"/>
            <w:sz w:val="27"/>
            <w:szCs w:val="27"/>
            <w:u w:val="single"/>
            <w:shd w:val="clear" w:color="auto" w:fill="FFC332"/>
            <w:lang w:eastAsia="fr-FR"/>
            <w14:ligatures w14:val="none"/>
          </w:rPr>
          <w:t>c</w:t>
        </w:r>
        <w:r w:rsidRPr="004F302F">
          <w:rPr>
            <w:rFonts w:ascii="athitimedium" w:eastAsia="Times New Roman" w:hAnsi="athitimedium" w:cs="Times New Roman"/>
            <w:color w:val="2D6DA6"/>
            <w:kern w:val="0"/>
            <w:sz w:val="27"/>
            <w:szCs w:val="27"/>
            <w:u w:val="single"/>
            <w:shd w:val="clear" w:color="auto" w:fill="FFC332"/>
            <w:lang w:eastAsia="fr-FR"/>
            <w14:ligatures w14:val="none"/>
          </w:rPr>
          <w:t>hât</w:t>
        </w:r>
        <w:r w:rsidRPr="004F302F">
          <w:rPr>
            <w:rFonts w:ascii="athitimedium" w:eastAsia="Times New Roman" w:hAnsi="athitimedium" w:cs="Times New Roman"/>
            <w:color w:val="2D6DA6"/>
            <w:kern w:val="0"/>
            <w:sz w:val="27"/>
            <w:szCs w:val="27"/>
            <w:u w:val="single"/>
            <w:shd w:val="clear" w:color="auto" w:fill="FFC332"/>
            <w:lang w:eastAsia="fr-FR"/>
            <w14:ligatures w14:val="none"/>
          </w:rPr>
          <w:t>e</w:t>
        </w:r>
        <w:r w:rsidRPr="004F302F">
          <w:rPr>
            <w:rFonts w:ascii="athitimedium" w:eastAsia="Times New Roman" w:hAnsi="athitimedium" w:cs="Times New Roman"/>
            <w:color w:val="2D6DA6"/>
            <w:kern w:val="0"/>
            <w:sz w:val="27"/>
            <w:szCs w:val="27"/>
            <w:u w:val="single"/>
            <w:shd w:val="clear" w:color="auto" w:fill="FFC332"/>
            <w:lang w:eastAsia="fr-FR"/>
            <w14:ligatures w14:val="none"/>
          </w:rPr>
          <w:t>au en images</w:t>
        </w:r>
      </w:hyperlink>
    </w:p>
    <w:p w14:paraId="6447CD82" w14:textId="77777777" w:rsidR="004F302F" w:rsidRDefault="004F302F" w:rsidP="004F302F">
      <w:pPr>
        <w:spacing w:before="100" w:beforeAutospacing="1" w:after="100" w:afterAutospacing="1" w:line="240" w:lineRule="auto"/>
        <w:rPr>
          <w:rFonts w:ascii="athitiregular" w:eastAsia="Times New Roman" w:hAnsi="athitiregular" w:cs="Times New Roman"/>
          <w:color w:val="484643"/>
          <w:kern w:val="0"/>
          <w:sz w:val="27"/>
          <w:szCs w:val="27"/>
          <w:lang w:eastAsia="fr-FR"/>
          <w14:ligatures w14:val="none"/>
        </w:rPr>
      </w:pPr>
    </w:p>
    <w:p w14:paraId="74B7CD40" w14:textId="7A84A7DC" w:rsidR="004F302F" w:rsidRPr="004F302F" w:rsidRDefault="004F302F" w:rsidP="004F302F">
      <w:pPr>
        <w:spacing w:before="100" w:beforeAutospacing="1" w:after="100" w:afterAutospacing="1" w:line="240" w:lineRule="auto"/>
        <w:rPr>
          <w:rFonts w:ascii="athitiregular" w:eastAsia="Times New Roman" w:hAnsi="athitiregular" w:cs="Times New Roman"/>
          <w:color w:val="484643"/>
          <w:kern w:val="0"/>
          <w:sz w:val="27"/>
          <w:szCs w:val="27"/>
          <w:lang w:eastAsia="fr-FR"/>
          <w14:ligatures w14:val="none"/>
        </w:rPr>
      </w:pPr>
      <w:r>
        <w:rPr>
          <w:rFonts w:ascii="athitiregular" w:eastAsia="Times New Roman" w:hAnsi="athitiregular" w:cs="Times New Roman"/>
          <w:color w:val="484643"/>
          <w:kern w:val="0"/>
          <w:sz w:val="27"/>
          <w:szCs w:val="27"/>
          <w:lang w:eastAsia="fr-FR"/>
          <w14:ligatures w14:val="none"/>
        </w:rPr>
        <w:t xml:space="preserve">Vous trouverez   l’HISTOIRE  de LA SOLIDARITE    du Moyen Age à nos jours </w:t>
      </w:r>
    </w:p>
    <w:p w14:paraId="5DFB3120" w14:textId="1338864B" w:rsidR="004F302F" w:rsidRPr="004F302F" w:rsidRDefault="004F302F" w:rsidP="004F302F">
      <w:pPr>
        <w:spacing w:before="100" w:beforeAutospacing="1" w:after="100" w:afterAutospacing="1" w:line="240" w:lineRule="auto"/>
        <w:rPr>
          <w:rFonts w:ascii="athitiregular" w:eastAsia="Times New Roman" w:hAnsi="athitiregular" w:cs="Times New Roman"/>
          <w:color w:val="484643"/>
          <w:kern w:val="0"/>
          <w:sz w:val="27"/>
          <w:szCs w:val="27"/>
          <w:lang w:eastAsia="fr-FR"/>
          <w14:ligatures w14:val="none"/>
        </w:rPr>
      </w:pPr>
      <w:r w:rsidRPr="004F302F">
        <w:rPr>
          <w:rFonts w:ascii="athitiregular" w:eastAsia="Times New Roman" w:hAnsi="athitiregular" w:cs="Times New Roman"/>
          <w:color w:val="484643"/>
          <w:kern w:val="0"/>
          <w:sz w:val="27"/>
          <w:szCs w:val="27"/>
          <w:lang w:eastAsia="fr-FR"/>
          <w14:ligatures w14:val="none"/>
        </w:rPr>
        <w:t> https://www.musee-assurance-maladie.fr/web-documentaire</w:t>
      </w:r>
    </w:p>
    <w:p w14:paraId="44DD3413" w14:textId="77777777" w:rsidR="004F302F" w:rsidRDefault="004F302F"/>
    <w:sectPr w:rsidR="004F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hitibold">
    <w:altName w:val="Cambria"/>
    <w:panose1 w:val="00000000000000000000"/>
    <w:charset w:val="00"/>
    <w:family w:val="roman"/>
    <w:notTrueType/>
    <w:pitch w:val="default"/>
  </w:font>
  <w:font w:name="athitiregular">
    <w:altName w:val="Cambria"/>
    <w:panose1 w:val="00000000000000000000"/>
    <w:charset w:val="00"/>
    <w:family w:val="roman"/>
    <w:notTrueType/>
    <w:pitch w:val="default"/>
  </w:font>
  <w:font w:name="athitimedium">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2F"/>
    <w:rsid w:val="004F302F"/>
    <w:rsid w:val="006F06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A38"/>
  <w15:chartTrackingRefBased/>
  <w15:docId w15:val="{8880FAD5-5A90-4B22-8E01-5C13C1CF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8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see-assurance-maladie.fr/galerie-medias/galerie-4"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948</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Bouye Francoise</dc:creator>
  <cp:keywords/>
  <dc:description/>
  <cp:lastModifiedBy>Bouye Francoise</cp:lastModifiedBy>
  <cp:revision>2</cp:revision>
  <dcterms:created xsi:type="dcterms:W3CDTF">2024-03-02T16:58:00Z</dcterms:created>
  <dcterms:modified xsi:type="dcterms:W3CDTF">2024-03-02T17:11:00Z</dcterms:modified>
</cp:coreProperties>
</file>